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00" w:rsidRDefault="009F4CDE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  <w:szCs w:val="24"/>
        </w:rPr>
        <w:t>RESSET</w:t>
      </w:r>
      <w:r>
        <w:rPr>
          <w:rFonts w:ascii="宋体" w:eastAsia="宋体" w:hAnsi="宋体" w:hint="eastAsia"/>
          <w:b/>
          <w:bCs/>
          <w:sz w:val="24"/>
          <w:szCs w:val="24"/>
        </w:rPr>
        <w:t>金融研究数据库</w:t>
      </w:r>
      <w:r>
        <w:rPr>
          <w:rFonts w:ascii="宋体" w:eastAsia="宋体" w:hAnsi="宋体" w:hint="eastAsia"/>
          <w:b/>
          <w:bCs/>
          <w:sz w:val="24"/>
          <w:szCs w:val="24"/>
        </w:rPr>
        <w:t>4.0</w:t>
      </w:r>
      <w:r>
        <w:rPr>
          <w:rFonts w:ascii="宋体" w:eastAsia="宋体" w:hAnsi="宋体" w:hint="eastAsia"/>
          <w:b/>
          <w:bCs/>
          <w:sz w:val="24"/>
          <w:szCs w:val="24"/>
        </w:rPr>
        <w:t>版</w:t>
      </w:r>
      <w:r>
        <w:rPr>
          <w:rFonts w:ascii="宋体" w:eastAsia="宋体" w:hAnsi="宋体" w:hint="eastAsia"/>
          <w:b/>
          <w:bCs/>
          <w:sz w:val="24"/>
          <w:szCs w:val="24"/>
        </w:rPr>
        <w:t>功能优化说明</w:t>
      </w:r>
    </w:p>
    <w:p w:rsidR="00482B00" w:rsidRDefault="00482B0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482B00" w:rsidRDefault="009F4CDE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系统界面样式风格升级，界面功能分区清晰，操作更方便快捷。</w:t>
      </w:r>
    </w:p>
    <w:p w:rsidR="00482B00" w:rsidRDefault="009F4CDE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系统查询下载等主要功能重新编写优化，查询下载速度大大提高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支持多文件同时打包下载。</w:t>
      </w:r>
    </w:p>
    <w:p w:rsidR="00482B00" w:rsidRDefault="009F4CDE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系统采用分布式数据服务架构，智能化负载控制，稳定性大幅度提高。</w:t>
      </w:r>
    </w:p>
    <w:p w:rsidR="00482B00" w:rsidRDefault="009F4CDE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新版数据库系统支持无限下载，机构用户可单次下载上千万条数据。</w:t>
      </w:r>
      <w:r>
        <w:rPr>
          <w:rFonts w:ascii="宋体" w:eastAsia="宋体" w:hAnsi="宋体" w:hint="eastAsia"/>
          <w:sz w:val="24"/>
          <w:szCs w:val="24"/>
        </w:rPr>
        <w:t>老版正式用户一般仅支持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万条。</w:t>
      </w:r>
    </w:p>
    <w:p w:rsidR="00482B00" w:rsidRDefault="009F4CDE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匿名用户或注册用户可下载数据区间为数据</w:t>
      </w:r>
      <w:r>
        <w:rPr>
          <w:rFonts w:ascii="宋体" w:eastAsia="宋体" w:hAnsi="宋体" w:hint="eastAsia"/>
          <w:sz w:val="24"/>
          <w:szCs w:val="24"/>
        </w:rPr>
        <w:t>截止日期前</w:t>
      </w:r>
      <w:r>
        <w:rPr>
          <w:rFonts w:ascii="宋体" w:eastAsia="宋体" w:hAnsi="宋体" w:hint="eastAsia"/>
          <w:sz w:val="24"/>
          <w:szCs w:val="24"/>
        </w:rPr>
        <w:t>的两年内数据，并且不显示高密字段。</w:t>
      </w:r>
    </w:p>
    <w:p w:rsidR="00482B00" w:rsidRDefault="00482B00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482B00" w:rsidRDefault="009F4CDE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color w:val="417DC9"/>
          <w:sz w:val="24"/>
          <w:szCs w:val="24"/>
        </w:rPr>
        <w:t>金融研究数据库</w:t>
      </w:r>
      <w:r>
        <w:rPr>
          <w:rFonts w:ascii="宋体" w:eastAsia="宋体" w:hAnsi="宋体" w:hint="eastAsia"/>
          <w:b/>
          <w:bCs/>
          <w:color w:val="417DC9"/>
          <w:sz w:val="24"/>
          <w:szCs w:val="24"/>
        </w:rPr>
        <w:t>4.0</w:t>
      </w:r>
      <w:r>
        <w:rPr>
          <w:rFonts w:ascii="宋体" w:eastAsia="宋体" w:hAnsi="宋体" w:hint="eastAsia"/>
          <w:b/>
          <w:bCs/>
          <w:color w:val="417DC9"/>
          <w:sz w:val="24"/>
          <w:szCs w:val="24"/>
        </w:rPr>
        <w:t>版</w:t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数据库</w:t>
      </w:r>
      <w:r>
        <w:rPr>
          <w:rFonts w:ascii="宋体" w:eastAsia="宋体" w:hAnsi="宋体" w:hint="eastAsia"/>
          <w:sz w:val="24"/>
          <w:szCs w:val="24"/>
        </w:rPr>
        <w:t>设置</w:t>
      </w:r>
      <w:r>
        <w:rPr>
          <w:rFonts w:ascii="宋体" w:eastAsia="宋体" w:hAnsi="宋体" w:hint="eastAsia"/>
          <w:sz w:val="24"/>
          <w:szCs w:val="24"/>
        </w:rPr>
        <w:t>分类显示，系统分成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大类，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大类下还有二级分类。</w:t>
      </w:r>
    </w:p>
    <w:p w:rsidR="00482B00" w:rsidRDefault="009F4CD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5266690" cy="2586990"/>
            <wp:effectExtent l="9525" t="9525" r="19685" b="13335"/>
            <wp:docPr id="6" name="图片 6" descr="火狐截图_2020-05-08T08-23-24.97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火狐截图_2020-05-08T08-23-24.970Z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每一个数据库均添加数据库的详细介绍。</w:t>
      </w:r>
    </w:p>
    <w:p w:rsidR="00482B00" w:rsidRDefault="009F4CD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114300" distR="114300">
            <wp:extent cx="5258435" cy="2652395"/>
            <wp:effectExtent l="19050" t="19050" r="18415" b="14605"/>
            <wp:docPr id="10" name="图片 10" descr="15880621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8806212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523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每个用户均能查看系统内所有数据库列表：</w:t>
      </w:r>
    </w:p>
    <w:p w:rsidR="00482B00" w:rsidRDefault="009F4CD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已购买数据库：可查询下载、预览查询数据、查看数据词典、样例数据。</w:t>
      </w:r>
    </w:p>
    <w:p w:rsidR="00482B00" w:rsidRDefault="009F4CD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未购买的数据库：可查看库对应的数据表列表或单个数据表详细信息（样例数据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/>
          <w:sz w:val="24"/>
          <w:szCs w:val="24"/>
        </w:rPr>
        <w:t>数据词典）。数据库列表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/>
          <w:sz w:val="24"/>
          <w:szCs w:val="24"/>
        </w:rPr>
        <w:t>灰色调显示，并有相应权限提示。</w:t>
      </w:r>
    </w:p>
    <w:p w:rsidR="00482B00" w:rsidRDefault="009F4CD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>
            <wp:extent cx="5262245" cy="2673985"/>
            <wp:effectExtent l="19050" t="19050" r="14605" b="12065"/>
            <wp:docPr id="2" name="图片 2" descr="1588123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812314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39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添加数据表高级搜索功能，可根据表名称、字段信息、数据词典内容进行精确或模糊查询。高级搜索的范围可以为全部数据库（购买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未购买），但显示结果如果未购买则不能进行下载或查看。</w:t>
      </w:r>
    </w:p>
    <w:p w:rsidR="00482B00" w:rsidRDefault="009F4CD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72405" cy="2589530"/>
            <wp:effectExtent l="9525" t="9525" r="13970" b="10795"/>
            <wp:docPr id="8" name="图片 1" descr="火狐截图_2020-05-08T08-59-37.82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火狐截图_2020-05-08T08-59-37.820Z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895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查询数据和下载页面</w:t>
      </w:r>
      <w:r>
        <w:rPr>
          <w:rFonts w:ascii="宋体" w:eastAsia="宋体" w:hAnsi="宋体" w:hint="eastAsia"/>
          <w:sz w:val="24"/>
          <w:szCs w:val="24"/>
        </w:rPr>
        <w:t>位于</w:t>
      </w:r>
      <w:r>
        <w:rPr>
          <w:rFonts w:ascii="宋体" w:eastAsia="宋体" w:hAnsi="宋体" w:hint="eastAsia"/>
          <w:sz w:val="24"/>
          <w:szCs w:val="24"/>
        </w:rPr>
        <w:t>同一显示区域，方便用户查看查询条件和下载结果。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5272405" cy="2658745"/>
            <wp:effectExtent l="9525" t="9525" r="13970" b="17780"/>
            <wp:docPr id="3" name="图片 3" descr="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nva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87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用户在下载数据前可先预览数据结果，数据结果为少量查询结果数据。</w:t>
      </w:r>
    </w:p>
    <w:p w:rsidR="00482B00" w:rsidRDefault="009F4CD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114300" distR="114300">
            <wp:extent cx="5259070" cy="2668270"/>
            <wp:effectExtent l="19050" t="19050" r="17780" b="17780"/>
            <wp:docPr id="1" name="图片 1" descr="1588058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8058637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6682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查询结果文件的下载地址可发送至邮箱，目前支持下载连接</w:t>
      </w:r>
      <w:r>
        <w:rPr>
          <w:rFonts w:ascii="宋体" w:eastAsia="宋体" w:hAnsi="宋体" w:hint="eastAsia"/>
          <w:sz w:val="24"/>
          <w:szCs w:val="24"/>
        </w:rPr>
        <w:t>48</w:t>
      </w:r>
      <w:r>
        <w:rPr>
          <w:rFonts w:ascii="宋体" w:eastAsia="宋体" w:hAnsi="宋体" w:hint="eastAsia"/>
          <w:sz w:val="24"/>
          <w:szCs w:val="24"/>
        </w:rPr>
        <w:t>小时有效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查询结果时显示查询的观察字段数和显示邮箱发送地址状态（如设置了发送邮箱）</w:t>
      </w:r>
    </w:p>
    <w:p w:rsidR="00482B00" w:rsidRDefault="009F4CDE">
      <w:pPr>
        <w:tabs>
          <w:tab w:val="left" w:pos="312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5267960" cy="1205865"/>
            <wp:effectExtent l="19050" t="19050" r="27940" b="13335"/>
            <wp:docPr id="7" name="图片 7" descr="15880597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8059718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058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当用户的下载权限条数</w:t>
      </w:r>
      <w:r>
        <w:rPr>
          <w:rFonts w:ascii="宋体" w:eastAsia="宋体" w:hAnsi="宋体" w:hint="eastAsia"/>
          <w:sz w:val="24"/>
          <w:szCs w:val="24"/>
        </w:rPr>
        <w:t>&gt;</w:t>
      </w:r>
      <w:r>
        <w:rPr>
          <w:rFonts w:ascii="宋体" w:eastAsia="宋体" w:hAnsi="宋体" w:hint="eastAsia"/>
          <w:sz w:val="24"/>
          <w:szCs w:val="24"/>
        </w:rPr>
        <w:t>文件限制条数时，自助分割成多个下载文件（不同文件格式的单文件分割条数不同），然后以打包形式</w:t>
      </w:r>
      <w:r>
        <w:rPr>
          <w:rFonts w:ascii="宋体" w:eastAsia="宋体" w:hAnsi="宋体" w:hint="eastAsia"/>
          <w:sz w:val="24"/>
          <w:szCs w:val="24"/>
        </w:rPr>
        <w:t>*.zip</w:t>
      </w:r>
      <w:r>
        <w:rPr>
          <w:rFonts w:ascii="宋体" w:eastAsia="宋体" w:hAnsi="宋体" w:hint="eastAsia"/>
          <w:sz w:val="24"/>
          <w:szCs w:val="24"/>
        </w:rPr>
        <w:t>供用户下载。</w:t>
      </w:r>
    </w:p>
    <w:p w:rsidR="00482B00" w:rsidRDefault="009F4CD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5262245" cy="2670810"/>
            <wp:effectExtent l="19050" t="19050" r="14605" b="15240"/>
            <wp:docPr id="13" name="图片 13" descr="15881268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88126849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08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2B00" w:rsidRDefault="009F4CD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所有以打包形式</w:t>
      </w:r>
      <w:r>
        <w:rPr>
          <w:rFonts w:ascii="宋体" w:eastAsia="宋体" w:hAnsi="宋体" w:hint="eastAsia"/>
          <w:sz w:val="24"/>
          <w:szCs w:val="24"/>
        </w:rPr>
        <w:t>*.zip</w:t>
      </w:r>
      <w:r>
        <w:rPr>
          <w:rFonts w:ascii="宋体" w:eastAsia="宋体" w:hAnsi="宋体" w:hint="eastAsia"/>
          <w:sz w:val="24"/>
          <w:szCs w:val="24"/>
        </w:rPr>
        <w:t>得到的结果文件均自动添加数据词典与版权信息。普</w:t>
      </w:r>
      <w:r>
        <w:rPr>
          <w:rFonts w:ascii="宋体" w:eastAsia="宋体" w:hAnsi="宋体" w:hint="eastAsia"/>
          <w:sz w:val="24"/>
          <w:szCs w:val="24"/>
        </w:rPr>
        <w:lastRenderedPageBreak/>
        <w:t>通结果文件可自行查看数据词典。</w:t>
      </w:r>
    </w:p>
    <w:p w:rsidR="00482B00" w:rsidRDefault="009F4CDE">
      <w:pPr>
        <w:pStyle w:val="aa"/>
        <w:spacing w:beforeLines="50" w:before="156" w:afterLines="50" w:after="156" w:line="360" w:lineRule="auto"/>
        <w:ind w:firstLineChars="0" w:firstLine="0"/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5273040" cy="3632835"/>
            <wp:effectExtent l="19050" t="19050" r="22860" b="24765"/>
            <wp:docPr id="15" name="图片 15" descr="15881273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88127316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328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8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DE" w:rsidRDefault="009F4CDE" w:rsidP="006229F6">
      <w:r>
        <w:separator/>
      </w:r>
    </w:p>
  </w:endnote>
  <w:endnote w:type="continuationSeparator" w:id="0">
    <w:p w:rsidR="009F4CDE" w:rsidRDefault="009F4CDE" w:rsidP="006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DE" w:rsidRDefault="009F4CDE" w:rsidP="006229F6">
      <w:r>
        <w:separator/>
      </w:r>
    </w:p>
  </w:footnote>
  <w:footnote w:type="continuationSeparator" w:id="0">
    <w:p w:rsidR="009F4CDE" w:rsidRDefault="009F4CDE" w:rsidP="0062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0E5D20"/>
    <w:multiLevelType w:val="singleLevel"/>
    <w:tmpl w:val="B20E5D2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391682C"/>
    <w:multiLevelType w:val="singleLevel"/>
    <w:tmpl w:val="F39168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CA"/>
    <w:rsid w:val="000C6174"/>
    <w:rsid w:val="00126389"/>
    <w:rsid w:val="00164D0D"/>
    <w:rsid w:val="001A1D29"/>
    <w:rsid w:val="00253326"/>
    <w:rsid w:val="00274061"/>
    <w:rsid w:val="0028717C"/>
    <w:rsid w:val="00316216"/>
    <w:rsid w:val="00482B00"/>
    <w:rsid w:val="004B3354"/>
    <w:rsid w:val="004C58C7"/>
    <w:rsid w:val="004F17CA"/>
    <w:rsid w:val="0051531C"/>
    <w:rsid w:val="00545553"/>
    <w:rsid w:val="0059770B"/>
    <w:rsid w:val="005D5846"/>
    <w:rsid w:val="006229F6"/>
    <w:rsid w:val="006303A0"/>
    <w:rsid w:val="006437B8"/>
    <w:rsid w:val="006C4EA7"/>
    <w:rsid w:val="007E35D5"/>
    <w:rsid w:val="00876191"/>
    <w:rsid w:val="009C72A7"/>
    <w:rsid w:val="009F4CDE"/>
    <w:rsid w:val="00A079FD"/>
    <w:rsid w:val="00A94DA8"/>
    <w:rsid w:val="00AF249E"/>
    <w:rsid w:val="00BC078A"/>
    <w:rsid w:val="00C7020C"/>
    <w:rsid w:val="00CA6D24"/>
    <w:rsid w:val="00CD18C2"/>
    <w:rsid w:val="00D00DCC"/>
    <w:rsid w:val="00D80CEA"/>
    <w:rsid w:val="00E07FAF"/>
    <w:rsid w:val="00E37A14"/>
    <w:rsid w:val="00E95369"/>
    <w:rsid w:val="00EE28D7"/>
    <w:rsid w:val="00FB32B9"/>
    <w:rsid w:val="04C6002D"/>
    <w:rsid w:val="093D65EC"/>
    <w:rsid w:val="1037130E"/>
    <w:rsid w:val="126C526C"/>
    <w:rsid w:val="166641D1"/>
    <w:rsid w:val="1C8D69D0"/>
    <w:rsid w:val="1E8A0311"/>
    <w:rsid w:val="2677268B"/>
    <w:rsid w:val="283547B5"/>
    <w:rsid w:val="2D82378B"/>
    <w:rsid w:val="2F3F0D28"/>
    <w:rsid w:val="32B13426"/>
    <w:rsid w:val="34224737"/>
    <w:rsid w:val="35A371E6"/>
    <w:rsid w:val="37F91B20"/>
    <w:rsid w:val="39D86852"/>
    <w:rsid w:val="44F66A30"/>
    <w:rsid w:val="47427758"/>
    <w:rsid w:val="4AF82BB0"/>
    <w:rsid w:val="50F7750F"/>
    <w:rsid w:val="51100002"/>
    <w:rsid w:val="582E4275"/>
    <w:rsid w:val="583A2012"/>
    <w:rsid w:val="5B700CC5"/>
    <w:rsid w:val="5DFD735A"/>
    <w:rsid w:val="5FD47F71"/>
    <w:rsid w:val="60CC03DE"/>
    <w:rsid w:val="639316EE"/>
    <w:rsid w:val="640437BE"/>
    <w:rsid w:val="66A64341"/>
    <w:rsid w:val="69660B18"/>
    <w:rsid w:val="6A6614B7"/>
    <w:rsid w:val="6D0A58A5"/>
    <w:rsid w:val="721B7E57"/>
    <w:rsid w:val="72A52D72"/>
    <w:rsid w:val="737538BC"/>
    <w:rsid w:val="76F62059"/>
    <w:rsid w:val="785525BB"/>
    <w:rsid w:val="791B536D"/>
    <w:rsid w:val="7C3A0178"/>
    <w:rsid w:val="7C5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BEC47-D1C2-42FF-A8D5-1210A8A9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resset-liushan</dc:creator>
  <cp:lastModifiedBy>Windows 用户</cp:lastModifiedBy>
  <cp:revision>2</cp:revision>
  <dcterms:created xsi:type="dcterms:W3CDTF">2020-05-16T05:23:00Z</dcterms:created>
  <dcterms:modified xsi:type="dcterms:W3CDTF">2020-05-16T05:23:00Z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